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B4" w:rsidRDefault="00970C02" w:rsidP="00970C0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5305" cy="807085"/>
            <wp:effectExtent l="19050" t="0" r="0" b="0"/>
            <wp:docPr id="4" name="Рисунок 4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МИ</w:t>
      </w:r>
      <w:r w:rsidR="00970C02">
        <w:rPr>
          <w:rFonts w:ascii="Times New Roman" w:hAnsi="Times New Roman" w:cs="Times New Roman"/>
          <w:b/>
          <w:sz w:val="28"/>
          <w:szCs w:val="28"/>
        </w:rPr>
        <w:t>Х</w:t>
      </w:r>
      <w:r w:rsidRPr="003D5E66">
        <w:rPr>
          <w:rFonts w:ascii="Times New Roman" w:hAnsi="Times New Roman" w:cs="Times New Roman"/>
          <w:b/>
          <w:sz w:val="28"/>
          <w:szCs w:val="28"/>
        </w:rPr>
        <w:t>АЙЛОВСКАЯ СЕЛЬСКАЯ АДМИНИСТРАЦИЯ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C332B4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2B4" w:rsidRPr="007A1F1C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F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332B4" w:rsidRPr="007A1F1C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32B4" w:rsidRDefault="002F173F" w:rsidP="00C3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6D0108">
        <w:rPr>
          <w:rFonts w:ascii="Times New Roman" w:hAnsi="Times New Roman" w:cs="Times New Roman"/>
          <w:sz w:val="28"/>
          <w:szCs w:val="28"/>
        </w:rPr>
        <w:t>.1</w:t>
      </w:r>
      <w:r w:rsidR="007011FB">
        <w:rPr>
          <w:rFonts w:ascii="Times New Roman" w:hAnsi="Times New Roman" w:cs="Times New Roman"/>
          <w:sz w:val="28"/>
          <w:szCs w:val="28"/>
        </w:rPr>
        <w:t>1</w:t>
      </w:r>
      <w:r w:rsidR="00C332B4" w:rsidRPr="00970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970C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 с.</w:t>
      </w:r>
      <w:r w:rsidR="0064024E">
        <w:rPr>
          <w:rFonts w:ascii="Times New Roman" w:hAnsi="Times New Roman" w:cs="Times New Roman"/>
          <w:sz w:val="28"/>
          <w:szCs w:val="28"/>
        </w:rPr>
        <w:t xml:space="preserve">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Михайловка    </w:t>
      </w:r>
      <w:r w:rsidR="006D01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  </w:t>
      </w:r>
      <w:r w:rsidR="0064024E">
        <w:rPr>
          <w:rFonts w:ascii="Times New Roman" w:hAnsi="Times New Roman" w:cs="Times New Roman"/>
          <w:sz w:val="28"/>
          <w:szCs w:val="28"/>
        </w:rPr>
        <w:t xml:space="preserve"> </w:t>
      </w:r>
      <w:r w:rsidR="007011FB">
        <w:rPr>
          <w:rFonts w:ascii="Times New Roman" w:hAnsi="Times New Roman" w:cs="Times New Roman"/>
          <w:sz w:val="28"/>
          <w:szCs w:val="28"/>
        </w:rPr>
        <w:t xml:space="preserve">  </w:t>
      </w:r>
      <w:r w:rsidR="0064024E">
        <w:rPr>
          <w:rFonts w:ascii="Times New Roman" w:hAnsi="Times New Roman" w:cs="Times New Roman"/>
          <w:sz w:val="28"/>
          <w:szCs w:val="28"/>
        </w:rPr>
        <w:t xml:space="preserve">  </w:t>
      </w:r>
      <w:r w:rsidR="001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67</w:t>
      </w:r>
      <w:r w:rsidR="00701B0E">
        <w:rPr>
          <w:rFonts w:ascii="Times New Roman" w:hAnsi="Times New Roman" w:cs="Times New Roman"/>
          <w:sz w:val="28"/>
          <w:szCs w:val="28"/>
        </w:rPr>
        <w:t>п</w:t>
      </w:r>
    </w:p>
    <w:p w:rsid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6D0108" w:rsidRPr="006D0108" w:rsidTr="00CB5D45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108" w:rsidRPr="006D0108" w:rsidRDefault="006D0108" w:rsidP="006D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0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6D0108">
              <w:rPr>
                <w:rFonts w:ascii="Times New Roman" w:hAnsi="Times New Roman" w:cs="Times New Roman"/>
                <w:sz w:val="28"/>
                <w:szCs w:val="28"/>
              </w:rPr>
              <w:t>перечня главных администраторов доходов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сельсовета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6D0108" w:rsidRP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08" w:rsidRP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D01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D010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3.2 статьи 160.1</w:t>
        </w:r>
      </w:hyperlink>
      <w:r w:rsidRPr="006D01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6D0108">
        <w:rPr>
          <w:rFonts w:ascii="Times New Roman" w:hAnsi="Times New Roman" w:cs="Times New Roman"/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D0108">
        <w:rPr>
          <w:rFonts w:ascii="Times New Roman" w:hAnsi="Times New Roman" w:cs="Times New Roman"/>
          <w:sz w:val="28"/>
          <w:szCs w:val="28"/>
        </w:rPr>
        <w:t xml:space="preserve"> </w:t>
      </w:r>
      <w:r w:rsidRPr="006D0108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статьей 8 Решения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6D0108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23.09</w:t>
      </w:r>
      <w:r w:rsidRPr="006D010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11 №16-45</w:t>
      </w:r>
      <w:r w:rsidRPr="006D0108">
        <w:rPr>
          <w:rFonts w:ascii="Times New Roman" w:hAnsi="Times New Roman" w:cs="Times New Roman"/>
          <w:sz w:val="28"/>
          <w:szCs w:val="28"/>
        </w:rPr>
        <w:t>р 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Pr="006D0108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>
        <w:rPr>
          <w:rFonts w:ascii="Times New Roman" w:hAnsi="Times New Roman" w:cs="Times New Roman"/>
          <w:sz w:val="28"/>
          <w:szCs w:val="28"/>
        </w:rPr>
        <w:t>Михайловском сельсовете</w:t>
      </w:r>
      <w:r w:rsidRPr="006D0108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 w:rsidRPr="006D010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6D0108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ПОСТАНОВЛЯЮ:</w:t>
      </w:r>
    </w:p>
    <w:p w:rsidR="006D0108" w:rsidRP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08">
        <w:rPr>
          <w:rFonts w:ascii="Times New Roman" w:hAnsi="Times New Roman" w:cs="Times New Roman"/>
          <w:sz w:val="28"/>
          <w:szCs w:val="28"/>
        </w:rPr>
        <w:t xml:space="preserve">                 1.Утвердить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010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08">
        <w:rPr>
          <w:rFonts w:ascii="Times New Roman" w:hAnsi="Times New Roman" w:cs="Times New Roman"/>
          <w:sz w:val="28"/>
          <w:szCs w:val="28"/>
        </w:rPr>
        <w:t xml:space="preserve">               2. </w:t>
      </w:r>
      <w:proofErr w:type="gramStart"/>
      <w:r w:rsidRPr="006D0108">
        <w:rPr>
          <w:rFonts w:ascii="Times New Roman" w:hAnsi="Times New Roman" w:cs="Times New Roman"/>
          <w:sz w:val="28"/>
          <w:szCs w:val="28"/>
        </w:rPr>
        <w:t>Установить, что в случаях изменения состава и (или) функций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0108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0108">
        <w:rPr>
          <w:rFonts w:ascii="Times New Roman" w:hAnsi="Times New Roman" w:cs="Times New Roman"/>
          <w:sz w:val="28"/>
          <w:szCs w:val="28"/>
        </w:rPr>
        <w:t>закрепление видов (подвидов) доходов бюджета за главными администраторами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0108">
        <w:rPr>
          <w:rFonts w:ascii="Times New Roman" w:hAnsi="Times New Roman" w:cs="Times New Roman"/>
          <w:sz w:val="28"/>
          <w:szCs w:val="28"/>
        </w:rPr>
        <w:t>, являющимися органами муниципальной</w:t>
      </w:r>
      <w:proofErr w:type="gramEnd"/>
      <w:r w:rsidRPr="006D0108">
        <w:rPr>
          <w:rFonts w:ascii="Times New Roman" w:hAnsi="Times New Roman" w:cs="Times New Roman"/>
          <w:sz w:val="28"/>
          <w:szCs w:val="28"/>
        </w:rPr>
        <w:t xml:space="preserve"> власти (государственными органами) Красноярского края, осуществляется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 w:rsidRPr="006D010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6D0108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9C2728" w:rsidRPr="009C2728" w:rsidRDefault="009C2728" w:rsidP="009C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C2728">
        <w:rPr>
          <w:rFonts w:ascii="Times New Roman" w:hAnsi="Times New Roman" w:cs="Times New Roman"/>
          <w:sz w:val="28"/>
          <w:szCs w:val="28"/>
        </w:rPr>
        <w:t xml:space="preserve">Изменения в Перечень вносятся в срок не позднее 10 календарных дней. </w:t>
      </w:r>
    </w:p>
    <w:p w:rsidR="009C2728" w:rsidRPr="009C2728" w:rsidRDefault="009C2728" w:rsidP="009C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2728">
        <w:rPr>
          <w:rFonts w:ascii="Times New Roman" w:hAnsi="Times New Roman" w:cs="Times New Roman"/>
          <w:sz w:val="28"/>
          <w:szCs w:val="28"/>
        </w:rPr>
        <w:t>В Перечень могут быть внесены изменения в следующих случаях:</w:t>
      </w:r>
    </w:p>
    <w:p w:rsidR="009C2728" w:rsidRPr="009C2728" w:rsidRDefault="009C2728" w:rsidP="009C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28">
        <w:rPr>
          <w:rFonts w:ascii="Times New Roman" w:hAnsi="Times New Roman" w:cs="Times New Roman"/>
          <w:sz w:val="28"/>
          <w:szCs w:val="28"/>
        </w:rPr>
        <w:t xml:space="preserve">- изменения бюджетных </w:t>
      </w:r>
      <w:proofErr w:type="gramStart"/>
      <w:r w:rsidRPr="009C2728">
        <w:rPr>
          <w:rFonts w:ascii="Times New Roman" w:hAnsi="Times New Roman" w:cs="Times New Roman"/>
          <w:sz w:val="28"/>
          <w:szCs w:val="28"/>
        </w:rPr>
        <w:t>полномочий главного администратора доходов бюджета Михайловского сельсовета</w:t>
      </w:r>
      <w:proofErr w:type="gramEnd"/>
      <w:r w:rsidRPr="009C2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72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9C2728">
        <w:rPr>
          <w:rFonts w:ascii="Times New Roman" w:hAnsi="Times New Roman" w:cs="Times New Roman"/>
          <w:sz w:val="28"/>
          <w:szCs w:val="28"/>
        </w:rPr>
        <w:t xml:space="preserve"> района (далее – главный администратор доходов) по осуществлению им операций с доходами бюджета (далее – местный бюджет);</w:t>
      </w:r>
    </w:p>
    <w:p w:rsidR="009C2728" w:rsidRPr="009C2728" w:rsidRDefault="009C2728" w:rsidP="009C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28">
        <w:rPr>
          <w:rFonts w:ascii="Times New Roman" w:hAnsi="Times New Roman" w:cs="Times New Roman"/>
          <w:sz w:val="28"/>
          <w:szCs w:val="28"/>
        </w:rPr>
        <w:t>- изменения кода вида (подвида) доходов местного бюджета;</w:t>
      </w:r>
    </w:p>
    <w:p w:rsidR="009C2728" w:rsidRPr="009C2728" w:rsidRDefault="009C2728" w:rsidP="009C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28">
        <w:rPr>
          <w:rFonts w:ascii="Times New Roman" w:hAnsi="Times New Roman" w:cs="Times New Roman"/>
          <w:sz w:val="28"/>
          <w:szCs w:val="28"/>
        </w:rPr>
        <w:t>- изменения наименования кода вида (подвида) доходов местного бюджета;</w:t>
      </w:r>
    </w:p>
    <w:p w:rsidR="009C2728" w:rsidRPr="006D0108" w:rsidRDefault="009C2728" w:rsidP="009C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28">
        <w:rPr>
          <w:rFonts w:ascii="Times New Roman" w:hAnsi="Times New Roman" w:cs="Times New Roman"/>
          <w:sz w:val="28"/>
          <w:szCs w:val="28"/>
        </w:rPr>
        <w:t>необходимости включения в Перечень кода вида (подвида) доходов местного бюджета.</w:t>
      </w:r>
    </w:p>
    <w:p w:rsidR="006D0108" w:rsidRP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08">
        <w:rPr>
          <w:rFonts w:ascii="Times New Roman" w:hAnsi="Times New Roman" w:cs="Times New Roman"/>
          <w:sz w:val="28"/>
          <w:szCs w:val="28"/>
        </w:rPr>
        <w:t xml:space="preserve">               3. Опубликовать постановление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6D010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D0108" w:rsidRP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08">
        <w:rPr>
          <w:rFonts w:ascii="Times New Roman" w:hAnsi="Times New Roman" w:cs="Times New Roman"/>
          <w:sz w:val="28"/>
          <w:szCs w:val="28"/>
        </w:rPr>
        <w:t xml:space="preserve">               4. Постановление вступает в силу в день, следующий за днем </w:t>
      </w:r>
      <w:r w:rsidRPr="006D0108">
        <w:rPr>
          <w:rFonts w:ascii="Times New Roman" w:hAnsi="Times New Roman" w:cs="Times New Roman"/>
          <w:sz w:val="28"/>
          <w:szCs w:val="28"/>
        </w:rPr>
        <w:br/>
        <w:t>его официального опубликования в специальном выпуске газеты «</w:t>
      </w:r>
      <w:r>
        <w:rPr>
          <w:rFonts w:ascii="Times New Roman" w:hAnsi="Times New Roman" w:cs="Times New Roman"/>
          <w:sz w:val="28"/>
          <w:szCs w:val="28"/>
        </w:rPr>
        <w:t>Михайловский вестник</w:t>
      </w:r>
      <w:r w:rsidRPr="006D0108">
        <w:rPr>
          <w:rFonts w:ascii="Times New Roman" w:hAnsi="Times New Roman" w:cs="Times New Roman"/>
          <w:sz w:val="28"/>
          <w:szCs w:val="28"/>
        </w:rPr>
        <w:t>», и применяется к правоотношениям, возникающим при составлении 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2F173F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2F173F">
        <w:rPr>
          <w:rFonts w:ascii="Times New Roman" w:hAnsi="Times New Roman" w:cs="Times New Roman"/>
          <w:sz w:val="28"/>
          <w:szCs w:val="28"/>
        </w:rPr>
        <w:br/>
        <w:t>с бюджета на 2024 год и плановый период 2025</w:t>
      </w:r>
      <w:r w:rsidRPr="006D0108">
        <w:rPr>
          <w:rFonts w:ascii="Times New Roman" w:hAnsi="Times New Roman" w:cs="Times New Roman"/>
          <w:sz w:val="28"/>
          <w:szCs w:val="28"/>
        </w:rPr>
        <w:t>–202</w:t>
      </w:r>
      <w:r w:rsidR="002F173F">
        <w:rPr>
          <w:rFonts w:ascii="Times New Roman" w:hAnsi="Times New Roman" w:cs="Times New Roman"/>
          <w:sz w:val="28"/>
          <w:szCs w:val="28"/>
        </w:rPr>
        <w:t>6</w:t>
      </w:r>
      <w:r w:rsidRPr="006D010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D0108" w:rsidRPr="00970C02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F16" w:rsidRPr="00103F16" w:rsidRDefault="00103F16" w:rsidP="006D0108">
      <w:pPr>
        <w:pStyle w:val="consplustitle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103F16" w:rsidRDefault="007011FB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</w:t>
      </w:r>
      <w:r w:rsidR="00103F16">
        <w:rPr>
          <w:color w:val="3C3C3C"/>
          <w:sz w:val="28"/>
          <w:szCs w:val="28"/>
        </w:rPr>
        <w:t xml:space="preserve"> сельсовета</w:t>
      </w:r>
      <w:r w:rsidR="00103F16" w:rsidRPr="00103F16">
        <w:rPr>
          <w:color w:val="3C3C3C"/>
          <w:sz w:val="28"/>
          <w:szCs w:val="28"/>
        </w:rPr>
        <w:t>                           </w:t>
      </w:r>
      <w:r>
        <w:rPr>
          <w:color w:val="3C3C3C"/>
          <w:sz w:val="28"/>
          <w:szCs w:val="28"/>
        </w:rPr>
        <w:t xml:space="preserve">                      </w:t>
      </w:r>
      <w:r w:rsidR="00103F16" w:rsidRPr="00103F16">
        <w:rPr>
          <w:color w:val="3C3C3C"/>
          <w:sz w:val="28"/>
          <w:szCs w:val="28"/>
        </w:rPr>
        <w:t>                             </w:t>
      </w:r>
      <w:proofErr w:type="spellStart"/>
      <w:r w:rsidR="00103F16">
        <w:rPr>
          <w:color w:val="3C3C3C"/>
          <w:sz w:val="28"/>
          <w:szCs w:val="28"/>
        </w:rPr>
        <w:t>В.Г.Пауков</w:t>
      </w:r>
      <w:proofErr w:type="spellEnd"/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177411" w:rsidRDefault="00177411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9C2728" w:rsidRDefault="009C272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lastRenderedPageBreak/>
        <w:t>Приложение к Постановлению</w:t>
      </w:r>
    </w:p>
    <w:p w:rsidR="006D0108" w:rsidRDefault="002F173F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>от 07.11.2023 года №67</w:t>
      </w:r>
      <w:r w:rsidR="006D0108">
        <w:rPr>
          <w:color w:val="3C3C3C"/>
        </w:rPr>
        <w:t>п</w:t>
      </w:r>
    </w:p>
    <w:p w:rsidR="006D0108" w:rsidRDefault="006D0108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6D0108" w:rsidRPr="006D0108" w:rsidRDefault="00E57FF0" w:rsidP="00E57FF0">
      <w:pPr>
        <w:pStyle w:val="a7"/>
        <w:shd w:val="clear" w:color="auto" w:fill="FFFFFF"/>
        <w:spacing w:before="0" w:beforeAutospacing="0" w:after="0" w:afterAutospacing="0"/>
        <w:jc w:val="center"/>
        <w:rPr>
          <w:color w:val="3C3C3C"/>
        </w:rPr>
      </w:pPr>
      <w:r w:rsidRPr="00E57FF0">
        <w:rPr>
          <w:color w:val="3C3C3C"/>
        </w:rPr>
        <w:t>Перечень главных администраторов доходов бюджета</w:t>
      </w:r>
      <w:r>
        <w:rPr>
          <w:color w:val="3C3C3C"/>
        </w:rPr>
        <w:t xml:space="preserve"> Михайловского сельсовета </w:t>
      </w:r>
      <w:proofErr w:type="spellStart"/>
      <w:r>
        <w:rPr>
          <w:color w:val="3C3C3C"/>
        </w:rPr>
        <w:t>Ужурского</w:t>
      </w:r>
      <w:proofErr w:type="spellEnd"/>
      <w:r>
        <w:rPr>
          <w:color w:val="3C3C3C"/>
        </w:rPr>
        <w:t xml:space="preserve"> района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3"/>
        <w:gridCol w:w="1640"/>
        <w:gridCol w:w="2551"/>
        <w:gridCol w:w="14"/>
        <w:gridCol w:w="4806"/>
      </w:tblGrid>
      <w:tr w:rsidR="00FF3DC4" w:rsidRPr="006D0108" w:rsidTr="004B3742">
        <w:trPr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4B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DC4" w:rsidRPr="006D0108" w:rsidTr="00177411">
        <w:trPr>
          <w:trHeight w:val="60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4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177411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F3DC4"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r w:rsidR="00FF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кода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</w:tr>
      <w:tr w:rsidR="00DB1AB0" w:rsidRPr="006D0108" w:rsidTr="00DB1AB0">
        <w:trPr>
          <w:trHeight w:val="5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Pr="00DB1AB0" w:rsidRDefault="00DB1AB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Pr="00DB1AB0" w:rsidRDefault="00DB1AB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Pr="00DB1AB0" w:rsidRDefault="00DB1AB0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E57FF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Pr="006D0108" w:rsidRDefault="00E57FF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01 02010 01 0000 110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F0" w:rsidRPr="006D0108" w:rsidRDefault="00D42467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E57FF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01 02020 01 0000 110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F0" w:rsidRPr="00E57FF0" w:rsidRDefault="00E57FF0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57FF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01 02030 01 0000 110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F0" w:rsidRPr="00E57FF0" w:rsidRDefault="00E57FF0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D7B28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Pr="006D0108" w:rsidRDefault="00BD7B28" w:rsidP="00B9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03 02231 01 0000 110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28" w:rsidRPr="006D0108" w:rsidRDefault="00BD7B28" w:rsidP="00B9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D7B28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Pr="006D010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03 02241 01 0000 110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28" w:rsidRPr="006D0108" w:rsidRDefault="00BD7B28" w:rsidP="00B9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D7B28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Pr="006D010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03 02251 01 0000 110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28" w:rsidRPr="006D0108" w:rsidRDefault="00BD7B28" w:rsidP="00B9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D7B28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Pr="006D010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03 02261 01 0000 110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28" w:rsidRPr="006D0108" w:rsidRDefault="00BD7B28" w:rsidP="00B9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7FF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05 03010 01 0000 110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F0" w:rsidRPr="00E57FF0" w:rsidRDefault="00E57FF0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E57FF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DB1AB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106 01030 1</w:t>
            </w:r>
            <w:r w:rsid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F0" w:rsidRPr="00E57FF0" w:rsidRDefault="00E57FF0" w:rsidP="00E5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 взимаемый по ставкам</w:t>
            </w:r>
            <w:proofErr w:type="gramStart"/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рименяемым к объектам налогообложения, расположенным в границах сельских поселений</w:t>
            </w:r>
          </w:p>
        </w:tc>
      </w:tr>
      <w:tr w:rsidR="00E57FF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DB1AB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F0" w:rsidRPr="00E57FF0" w:rsidRDefault="00E57FF0" w:rsidP="00E5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DB1AB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Default="00DB1AB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Default="00DB1AB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411" w:rsidRPr="00E57FF0" w:rsidRDefault="00DB1AB0" w:rsidP="00E5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333D3" w:rsidRPr="006D0108" w:rsidTr="00C4603E">
        <w:trPr>
          <w:trHeight w:val="55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D3" w:rsidRDefault="00B333D3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D3" w:rsidRDefault="00660879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D3" w:rsidRDefault="00FC50FA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660879" w:rsidRPr="006D0108" w:rsidTr="00D42467">
        <w:trPr>
          <w:trHeight w:val="27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9" w:rsidRPr="00660879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9" w:rsidRPr="00660879" w:rsidRDefault="00660879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9" w:rsidRPr="00660879" w:rsidRDefault="00660879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116 02010 02 0000 140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9" w:rsidRPr="00660879" w:rsidRDefault="00D42467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  <w:r w:rsidRPr="00D4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</w:tr>
      <w:tr w:rsidR="00DB1AB0" w:rsidRPr="006D0108" w:rsidTr="00C4603E">
        <w:trPr>
          <w:trHeight w:val="55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Pr="00DB1AB0" w:rsidRDefault="00DB1AB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Pr="00DB1AB0" w:rsidRDefault="00DB1AB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Pr="00DB1AB0" w:rsidRDefault="00DB1AB0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Михайловского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FF3DC4" w:rsidRPr="006D0108" w:rsidTr="00D42467">
        <w:trPr>
          <w:trHeight w:val="198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D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A6E83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108 04020 01 1000 110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D42467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F3DC4" w:rsidRPr="006D0108" w:rsidTr="00FF3DC4">
        <w:trPr>
          <w:trHeight w:val="22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A6E83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111 05025 10 0000 120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F3DC4" w:rsidRPr="006D0108" w:rsidTr="00FF3DC4">
        <w:trPr>
          <w:trHeight w:val="168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111 05035 10 0000 120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F3DC4" w:rsidRPr="006D0108" w:rsidTr="00833F94">
        <w:trPr>
          <w:trHeight w:val="9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111 05075 10 0000 120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F3DC4" w:rsidRPr="006D0108" w:rsidTr="00FF3DC4">
        <w:trPr>
          <w:trHeight w:val="211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111 09045 10 0000 120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F3DC4" w:rsidRPr="006D0108" w:rsidTr="00FF3DC4">
        <w:trPr>
          <w:trHeight w:val="282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111 09080 10 0000 120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FF3DC4" w:rsidRPr="006D0108" w:rsidTr="00833F94">
        <w:trPr>
          <w:trHeight w:val="9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113 01995 10 0000 130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FF3DC4" w:rsidRPr="006D0108" w:rsidTr="00833F94">
        <w:trPr>
          <w:trHeight w:val="112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113 02065 10 0000 130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F3DC4" w:rsidRPr="006D0108" w:rsidTr="00833F94">
        <w:trPr>
          <w:trHeight w:val="6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113 02995 10 0000 130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FF3DC4" w:rsidRPr="006D0108" w:rsidTr="00FF3DC4">
        <w:trPr>
          <w:trHeight w:val="22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114 02052 10 0000 410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F3DC4" w:rsidRPr="006D0108" w:rsidTr="00833F94">
        <w:trPr>
          <w:trHeight w:val="254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114 02052 10 0000 440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F3DC4" w:rsidRPr="006D0108" w:rsidTr="00FF3DC4">
        <w:trPr>
          <w:trHeight w:val="254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114 02053 10 0000 410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F3DC4" w:rsidRPr="006D0108" w:rsidTr="00FF3DC4">
        <w:trPr>
          <w:trHeight w:val="25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114 02053 10 0000 440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F3DC4" w:rsidRPr="006D0108" w:rsidTr="00FF3DC4">
        <w:trPr>
          <w:trHeight w:val="15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bookmarkStart w:id="0" w:name="_GoBack"/>
            <w:bookmarkEnd w:id="0"/>
          </w:p>
        </w:tc>
      </w:tr>
      <w:tr w:rsidR="00FF3DC4" w:rsidRPr="006D0108" w:rsidTr="00FF3DC4">
        <w:trPr>
          <w:trHeight w:val="2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116 07010 10 0000 140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F3DC4" w:rsidRPr="006D0108" w:rsidTr="00FF3DC4">
        <w:trPr>
          <w:trHeight w:val="18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116 07090 10 0000 140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F3DC4" w:rsidRPr="006D0108" w:rsidTr="00FF3DC4">
        <w:trPr>
          <w:trHeight w:val="15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116 10031 10 0000 140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14348" w:rsidRPr="006D0108" w:rsidTr="00714348">
        <w:trPr>
          <w:trHeight w:val="19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34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348" w:rsidRDefault="0071434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348" w:rsidRPr="006D0108" w:rsidRDefault="00714348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116 10032 10 0000 140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348" w:rsidRPr="006D0108" w:rsidRDefault="00714348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F3DC4" w:rsidRPr="006D0108" w:rsidTr="00FF3DC4">
        <w:trPr>
          <w:trHeight w:val="268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116 10081 10 0000 140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3DC4" w:rsidRPr="006D0108" w:rsidTr="00FF3DC4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116 10082 10 0000 140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F3DC4" w:rsidRPr="006D0108" w:rsidTr="00833F94">
        <w:trPr>
          <w:trHeight w:val="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Невыясненные поступления, зачисляемые в бюджеты сельских поселений                                           </w:t>
            </w:r>
          </w:p>
        </w:tc>
      </w:tr>
      <w:tr w:rsidR="00FF3DC4" w:rsidRPr="006D0108" w:rsidTr="00833F94">
        <w:trPr>
          <w:trHeight w:val="7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117 05050 10 0000 180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F3DC4" w:rsidRPr="006D0108" w:rsidTr="00833F94">
        <w:trPr>
          <w:trHeight w:val="11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202 15001 10 0000 150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F3DC4" w:rsidRPr="006D0108" w:rsidTr="00833F94">
        <w:trPr>
          <w:trHeight w:val="10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202 16001 10 0000 150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F3DC4" w:rsidRPr="006D0108" w:rsidTr="00833F94">
        <w:trPr>
          <w:trHeight w:val="98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202 29999 10 7456 150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поддержку деятельности муниципальных молодёжных центров)</w:t>
            </w:r>
          </w:p>
        </w:tc>
      </w:tr>
      <w:tr w:rsidR="00FF3DC4" w:rsidRPr="006D0108" w:rsidTr="00833F94">
        <w:trPr>
          <w:trHeight w:val="154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202 30024 10 7514 150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2D6B78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FF3DC4" w:rsidRPr="006D0108" w:rsidTr="00833F94">
        <w:trPr>
          <w:trHeight w:val="14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2D6B78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C3507" w:rsidRPr="006D0108" w:rsidTr="00833F94">
        <w:trPr>
          <w:trHeight w:val="15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07" w:rsidRPr="00660879" w:rsidRDefault="00660879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BD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07" w:rsidRPr="000A0356" w:rsidRDefault="000A0356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07" w:rsidRPr="000A0356" w:rsidRDefault="000A0356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202 40014 10 0000 150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7" w:rsidRPr="006D0108" w:rsidRDefault="000A0356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F3DC4" w:rsidRPr="006D0108" w:rsidTr="00833F94">
        <w:trPr>
          <w:trHeight w:val="15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7C3507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D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202 45160 10 0000 150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                          </w:t>
            </w:r>
          </w:p>
        </w:tc>
      </w:tr>
      <w:tr w:rsidR="003A6A9D" w:rsidRPr="006D0108" w:rsidTr="003A6A9D">
        <w:trPr>
          <w:trHeight w:val="98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A9D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A9D" w:rsidRDefault="003A6A9D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A9D" w:rsidRPr="006D0108" w:rsidRDefault="003A6A9D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202 49999 10 7412 150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9D" w:rsidRPr="006D0108" w:rsidRDefault="003A6A9D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</w:tr>
      <w:tr w:rsidR="00CD3CAF" w:rsidRPr="006D0108" w:rsidTr="00CD3CAF">
        <w:trPr>
          <w:trHeight w:val="5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AF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AF" w:rsidRDefault="00CD3CAF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AF" w:rsidRPr="006D0108" w:rsidRDefault="00CD3CAF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202 49999 10 8101 150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CAF" w:rsidRPr="006D0108" w:rsidRDefault="00CD3CAF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 (на капитальный и текущий ремонт, реконструкцию находящихся в муниципальной собственности объектов коммунальной инфраструктуры, а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FF3DC4" w:rsidRPr="006D0108" w:rsidTr="00833F94">
        <w:trPr>
          <w:trHeight w:val="11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7C3507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BD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202 49999 10 8105 150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общественных работ в поселениях)</w:t>
            </w:r>
          </w:p>
        </w:tc>
      </w:tr>
      <w:tr w:rsidR="00FF3DC4" w:rsidRPr="006D0108" w:rsidTr="00833F94">
        <w:trPr>
          <w:trHeight w:val="11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202 49999 10 8115 150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обеспечение освещением территорий сельских поселений)</w:t>
            </w:r>
          </w:p>
        </w:tc>
      </w:tr>
      <w:tr w:rsidR="00FF3DC4" w:rsidRPr="006D0108" w:rsidTr="00FF3DC4">
        <w:trPr>
          <w:trHeight w:val="142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202 49999 10 8302 150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  (на поддержку мер по обеспечению сбалансированности бюджетов)</w:t>
            </w:r>
          </w:p>
        </w:tc>
      </w:tr>
      <w:tr w:rsidR="00CD3CAF" w:rsidRPr="006D0108" w:rsidTr="00833F94">
        <w:trPr>
          <w:trHeight w:val="9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AF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AF" w:rsidRDefault="00CD3CAF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AF" w:rsidRPr="006D0108" w:rsidRDefault="00CD3CAF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202 49999 10 8324 150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AF" w:rsidRPr="006D0108" w:rsidRDefault="00CD3CAF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передаваемые</w:t>
            </w:r>
            <w:r w:rsidR="006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сельских поселений (для постановки</w:t>
            </w:r>
            <w:r w:rsidRPr="00CD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кадастровый учёт земельных участков)</w:t>
            </w:r>
          </w:p>
        </w:tc>
      </w:tr>
      <w:tr w:rsidR="00FF3DC4" w:rsidRPr="006D0108" w:rsidTr="00833F94">
        <w:trPr>
          <w:trHeight w:val="9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F3DC4" w:rsidRPr="006D0108" w:rsidTr="00833F94">
        <w:trPr>
          <w:trHeight w:val="8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F3DC4" w:rsidRPr="006D0108" w:rsidTr="00833F94">
        <w:trPr>
          <w:trHeight w:val="69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660879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BD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207 05030 10 0000 150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 в бюджеты сельских поселений                   </w:t>
            </w:r>
          </w:p>
        </w:tc>
      </w:tr>
      <w:tr w:rsidR="00FF3DC4" w:rsidRPr="006D0108" w:rsidTr="00833F94">
        <w:trPr>
          <w:trHeight w:val="2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05387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D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208 05000 10 0000 150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A6E83" w:rsidRPr="006D0108" w:rsidTr="006A6E83">
        <w:trPr>
          <w:trHeight w:val="8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E83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E83" w:rsidRDefault="006A6E83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E83" w:rsidRPr="006D0108" w:rsidRDefault="006A6E83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208 10000 10 0000 150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83" w:rsidRPr="006D0108" w:rsidRDefault="006A6E83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FF3DC4" w:rsidRPr="006D0108" w:rsidTr="00833F94">
        <w:trPr>
          <w:trHeight w:val="14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05387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D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219 60010 10 0000 150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F3DC4" w:rsidRPr="006D0108" w:rsidTr="00FF3DC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DC4" w:rsidRPr="006D0108" w:rsidTr="00FF3DC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DC4" w:rsidRPr="006D0108" w:rsidTr="00FF3DC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DC4" w:rsidRPr="006D0108" w:rsidTr="00FF3DC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DC4" w:rsidRPr="006D0108" w:rsidTr="00FF3DC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DC4" w:rsidRPr="006D0108" w:rsidTr="00FF3DC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6039" w:rsidRPr="00CD3CAF" w:rsidRDefault="00CD6039" w:rsidP="00CD3C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CD6039" w:rsidRPr="00CD3CAF" w:rsidSect="0034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2C4"/>
    <w:multiLevelType w:val="hybridMultilevel"/>
    <w:tmpl w:val="428E9F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ED"/>
    <w:rsid w:val="00016870"/>
    <w:rsid w:val="00021BDB"/>
    <w:rsid w:val="00053872"/>
    <w:rsid w:val="000A0356"/>
    <w:rsid w:val="00103F16"/>
    <w:rsid w:val="00132480"/>
    <w:rsid w:val="00160030"/>
    <w:rsid w:val="00177411"/>
    <w:rsid w:val="00187D37"/>
    <w:rsid w:val="001A2392"/>
    <w:rsid w:val="001F188E"/>
    <w:rsid w:val="00210999"/>
    <w:rsid w:val="00245F07"/>
    <w:rsid w:val="002D6B78"/>
    <w:rsid w:val="002F173F"/>
    <w:rsid w:val="0034737B"/>
    <w:rsid w:val="00363344"/>
    <w:rsid w:val="003A6A9D"/>
    <w:rsid w:val="003C4E2B"/>
    <w:rsid w:val="003D5E66"/>
    <w:rsid w:val="004B3742"/>
    <w:rsid w:val="00530177"/>
    <w:rsid w:val="00542C23"/>
    <w:rsid w:val="005E5219"/>
    <w:rsid w:val="0064024E"/>
    <w:rsid w:val="00654619"/>
    <w:rsid w:val="00660879"/>
    <w:rsid w:val="006A6E83"/>
    <w:rsid w:val="006D0108"/>
    <w:rsid w:val="006F31AD"/>
    <w:rsid w:val="007011FB"/>
    <w:rsid w:val="00701B0E"/>
    <w:rsid w:val="00713E70"/>
    <w:rsid w:val="00714348"/>
    <w:rsid w:val="00767884"/>
    <w:rsid w:val="00786611"/>
    <w:rsid w:val="007A1F1C"/>
    <w:rsid w:val="007B7DF3"/>
    <w:rsid w:val="007C3507"/>
    <w:rsid w:val="00833F94"/>
    <w:rsid w:val="008925D2"/>
    <w:rsid w:val="008B710A"/>
    <w:rsid w:val="008C51C6"/>
    <w:rsid w:val="008C6BED"/>
    <w:rsid w:val="008D5D8B"/>
    <w:rsid w:val="00970C02"/>
    <w:rsid w:val="00991EB7"/>
    <w:rsid w:val="009A4312"/>
    <w:rsid w:val="009C2728"/>
    <w:rsid w:val="009C5CBD"/>
    <w:rsid w:val="00B333D3"/>
    <w:rsid w:val="00BA5637"/>
    <w:rsid w:val="00BB27B8"/>
    <w:rsid w:val="00BD7B28"/>
    <w:rsid w:val="00C332B4"/>
    <w:rsid w:val="00CD3CAF"/>
    <w:rsid w:val="00CD6039"/>
    <w:rsid w:val="00D42467"/>
    <w:rsid w:val="00DB1AB0"/>
    <w:rsid w:val="00E57FF0"/>
    <w:rsid w:val="00E654F7"/>
    <w:rsid w:val="00E7294B"/>
    <w:rsid w:val="00EA3FED"/>
    <w:rsid w:val="00ED15CB"/>
    <w:rsid w:val="00EE35E2"/>
    <w:rsid w:val="00F21161"/>
    <w:rsid w:val="00F74912"/>
    <w:rsid w:val="00F970C5"/>
    <w:rsid w:val="00FC50FA"/>
    <w:rsid w:val="00FF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F16"/>
    <w:rPr>
      <w:b/>
      <w:bCs/>
    </w:rPr>
  </w:style>
  <w:style w:type="character" w:customStyle="1" w:styleId="apple-converted-space">
    <w:name w:val="apple-converted-space"/>
    <w:basedOn w:val="a0"/>
    <w:rsid w:val="00103F16"/>
  </w:style>
  <w:style w:type="character" w:styleId="a9">
    <w:name w:val="Emphasis"/>
    <w:basedOn w:val="a0"/>
    <w:uiPriority w:val="20"/>
    <w:qFormat/>
    <w:rsid w:val="00103F16"/>
    <w:rPr>
      <w:i/>
      <w:iCs/>
    </w:rPr>
  </w:style>
  <w:style w:type="paragraph" w:customStyle="1" w:styleId="consplustitle">
    <w:name w:val="consplustitle"/>
    <w:basedOn w:val="a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0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F16"/>
    <w:rPr>
      <w:b/>
      <w:bCs/>
    </w:rPr>
  </w:style>
  <w:style w:type="character" w:customStyle="1" w:styleId="apple-converted-space">
    <w:name w:val="apple-converted-space"/>
    <w:basedOn w:val="a0"/>
    <w:rsid w:val="00103F16"/>
  </w:style>
  <w:style w:type="character" w:styleId="a9">
    <w:name w:val="Emphasis"/>
    <w:basedOn w:val="a0"/>
    <w:uiPriority w:val="20"/>
    <w:qFormat/>
    <w:rsid w:val="00103F16"/>
    <w:rPr>
      <w:i/>
      <w:iCs/>
    </w:rPr>
  </w:style>
  <w:style w:type="paragraph" w:customStyle="1" w:styleId="consplustitle">
    <w:name w:val="consplustitle"/>
    <w:basedOn w:val="a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0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19</cp:revision>
  <cp:lastPrinted>2023-11-07T06:44:00Z</cp:lastPrinted>
  <dcterms:created xsi:type="dcterms:W3CDTF">2021-11-11T04:02:00Z</dcterms:created>
  <dcterms:modified xsi:type="dcterms:W3CDTF">2023-11-07T07:41:00Z</dcterms:modified>
</cp:coreProperties>
</file>